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C4" w:rsidRDefault="0017631B" w:rsidP="0017631B">
      <w:pPr>
        <w:jc w:val="center"/>
        <w:rPr>
          <w:rFonts w:ascii="Times New Roman" w:hAnsi="Times New Roman" w:cs="Times New Roman"/>
          <w:b/>
        </w:rPr>
      </w:pPr>
      <w:r w:rsidRPr="0017631B">
        <w:rPr>
          <w:rFonts w:ascii="Times New Roman" w:hAnsi="Times New Roman" w:cs="Times New Roman"/>
          <w:b/>
        </w:rPr>
        <w:t>Wprowadzenie do</w:t>
      </w:r>
      <w:r w:rsidR="000C1025">
        <w:rPr>
          <w:rFonts w:ascii="Times New Roman" w:hAnsi="Times New Roman" w:cs="Times New Roman"/>
          <w:b/>
        </w:rPr>
        <w:t xml:space="preserve"> sprawozdania finansowego za 2020</w:t>
      </w:r>
      <w:r w:rsidRPr="0017631B">
        <w:rPr>
          <w:rFonts w:ascii="Times New Roman" w:hAnsi="Times New Roman" w:cs="Times New Roman"/>
          <w:b/>
        </w:rPr>
        <w:t xml:space="preserve"> rok</w:t>
      </w:r>
    </w:p>
    <w:p w:rsidR="0017631B" w:rsidRDefault="0017631B" w:rsidP="0017631B">
      <w:pPr>
        <w:rPr>
          <w:rFonts w:ascii="Times New Roman" w:hAnsi="Times New Roman" w:cs="Times New Roman"/>
        </w:rPr>
      </w:pPr>
    </w:p>
    <w:p w:rsidR="0017631B" w:rsidRDefault="0017631B" w:rsidP="0017631B">
      <w:pPr>
        <w:rPr>
          <w:rFonts w:ascii="Times New Roman" w:hAnsi="Times New Roman" w:cs="Times New Roman"/>
        </w:rPr>
      </w:pPr>
    </w:p>
    <w:p w:rsidR="0017631B" w:rsidRDefault="0017631B" w:rsidP="00B35C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Nazwa, siedziba i adres organizacji</w:t>
      </w:r>
    </w:p>
    <w:p w:rsidR="0017631B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Towarzystwo Przyjaciół Hospicjum z siedzibą w Chojnicach ul. Wysoka 3</w:t>
      </w:r>
    </w:p>
    <w:p w:rsidR="002B3274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89-600 Chojnice</w:t>
      </w:r>
    </w:p>
    <w:p w:rsidR="002B3274" w:rsidRPr="00B35C40" w:rsidRDefault="0017631B" w:rsidP="00B35C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5C40">
        <w:rPr>
          <w:rFonts w:ascii="Times New Roman" w:hAnsi="Times New Roman" w:cs="Times New Roman"/>
        </w:rPr>
        <w:t>Informacje o posiadanych jednostkach organizacji (zarówno sporządzających samodzielne sprawozdania finansowe, jak też nie sporządzających takich sprawozdań)</w:t>
      </w:r>
    </w:p>
    <w:p w:rsidR="0017631B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Towarzystwo Przyjaciół Hospicjum ul. Wysoka 3, 89-600 Chojnice</w:t>
      </w:r>
    </w:p>
    <w:p w:rsidR="002B3274" w:rsidRDefault="0017631B" w:rsidP="00B35C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Podstawowy przedmiot działalności wg PKD</w:t>
      </w:r>
    </w:p>
    <w:p w:rsidR="002B3274" w:rsidRPr="002B3274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 w:rsidRPr="002B3274">
        <w:rPr>
          <w:rFonts w:ascii="Times New Roman" w:hAnsi="Times New Roman" w:cs="Times New Roman"/>
        </w:rPr>
        <w:t>9499Z – działalność pozostałych organizacji członkowskich, gdzie indziej nie sklasyfikowana.</w:t>
      </w:r>
    </w:p>
    <w:p w:rsidR="0017631B" w:rsidRDefault="0017631B" w:rsidP="00B35C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właściwego sądu prowadzącego rejestr lub innego organu prowadzącego rejestr, data wpisu, numer w ewidencji oraz statystyczny numer indentyfikacyjny w systemie REGON</w:t>
      </w:r>
    </w:p>
    <w:p w:rsidR="0017631B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Sąd Rejonowy Gdańsk Północ VIII Wydział Gospodarczy </w:t>
      </w:r>
    </w:p>
    <w:p w:rsidR="0017631B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rejestracji 23.09.2005 rok.</w:t>
      </w:r>
    </w:p>
    <w:p w:rsidR="0017631B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220112208</w:t>
      </w:r>
    </w:p>
    <w:p w:rsidR="0017631B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555-20-05-920</w:t>
      </w:r>
    </w:p>
    <w:p w:rsidR="002B3274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 0000241855</w:t>
      </w:r>
    </w:p>
    <w:p w:rsidR="00B35C40" w:rsidRDefault="00B35C40" w:rsidP="00B35C40">
      <w:pPr>
        <w:pStyle w:val="Akapitzlist"/>
        <w:jc w:val="both"/>
        <w:rPr>
          <w:rFonts w:ascii="Times New Roman" w:hAnsi="Times New Roman" w:cs="Times New Roman"/>
        </w:rPr>
      </w:pPr>
    </w:p>
    <w:p w:rsidR="0017631B" w:rsidRDefault="0017631B" w:rsidP="00B35C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dotyczące członków zarządu ( imię nazwisko oraz funkcja)</w:t>
      </w:r>
    </w:p>
    <w:p w:rsidR="002B3274" w:rsidRDefault="002B3274" w:rsidP="00B35C40">
      <w:pPr>
        <w:pStyle w:val="Akapitzlist"/>
        <w:jc w:val="both"/>
        <w:rPr>
          <w:rFonts w:ascii="Times New Roman" w:hAnsi="Times New Roman" w:cs="Times New Roman"/>
        </w:rPr>
      </w:pPr>
    </w:p>
    <w:p w:rsidR="0017631B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Małgorzata Kaczmarek – prezes zam. ul. Niemcewicza 10, 89-600 Chojnice</w:t>
      </w:r>
    </w:p>
    <w:p w:rsidR="0017631B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Nowak- wiceprezes zam. ul. Dębowa 5, 89-600 Chojnice</w:t>
      </w:r>
    </w:p>
    <w:p w:rsidR="0017631B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Bernadeta Klunder – skarbnik zam. ul. Młyńska 4, 89-600 Chojnice </w:t>
      </w:r>
    </w:p>
    <w:p w:rsidR="0017631B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Mariola Henszke – wiceprezes zam. ul. Modrzewiowa 7, 89-600 Chojnice </w:t>
      </w:r>
    </w:p>
    <w:p w:rsidR="0017631B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Kamila Remus – członek zam. ul. Budowlanych 1/42, 89-600 Chojnice</w:t>
      </w:r>
    </w:p>
    <w:p w:rsidR="0017631B" w:rsidRDefault="0017631B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Spitzka – sekretarz zam. ul. Modra 5/22, 89-600 Chojnice </w:t>
      </w:r>
    </w:p>
    <w:p w:rsidR="002B3274" w:rsidRDefault="002B3274" w:rsidP="00B35C40">
      <w:pPr>
        <w:pStyle w:val="Akapitzlist"/>
        <w:jc w:val="both"/>
        <w:rPr>
          <w:rFonts w:ascii="Times New Roman" w:hAnsi="Times New Roman" w:cs="Times New Roman"/>
        </w:rPr>
      </w:pPr>
    </w:p>
    <w:p w:rsidR="002B3274" w:rsidRDefault="002B3274" w:rsidP="00B35C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Określenie celów statutowych organizacji</w:t>
      </w:r>
    </w:p>
    <w:p w:rsidR="002B3274" w:rsidRDefault="002B3274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organizowanie i sprawowanie profesjonalnej opieki paliatywnej w ramach hospicjum domowego</w:t>
      </w:r>
    </w:p>
    <w:p w:rsidR="002B3274" w:rsidRDefault="002B3274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pomoc i szkolenie rodzin w w/w zakresie</w:t>
      </w:r>
    </w:p>
    <w:p w:rsidR="002B3274" w:rsidRDefault="002B3274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 towarzyszenie choremu w końcowym okresie życia</w:t>
      </w:r>
    </w:p>
    <w:p w:rsidR="002B3274" w:rsidRDefault="002B3274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d/ wspieranie moralne rodziny w okresie trwania choroby i osierocenia</w:t>
      </w:r>
    </w:p>
    <w:p w:rsidR="002B3274" w:rsidRDefault="002B3274" w:rsidP="00B35C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e/ rozwijanie i propagowanie inicjatyw sprzyjających rozwojowi idei hospicyjnej</w:t>
      </w:r>
    </w:p>
    <w:p w:rsidR="002B3274" w:rsidRPr="00B35C40" w:rsidRDefault="002B3274" w:rsidP="00B35C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5C40">
        <w:rPr>
          <w:rFonts w:ascii="Times New Roman" w:hAnsi="Times New Roman" w:cs="Times New Roman"/>
        </w:rPr>
        <w:t>Wskazanie okresu trwania działalności organizacji, jeżeli jest on ograniczony w statucie brak ograniczenia w okresie trwania działalności organizacji.</w:t>
      </w:r>
    </w:p>
    <w:p w:rsidR="002B3274" w:rsidRDefault="002B3274" w:rsidP="00B35C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okresu objętego sprawozdaniem finansowym</w:t>
      </w:r>
    </w:p>
    <w:p w:rsidR="002B3274" w:rsidRDefault="002B3274" w:rsidP="00B35C40">
      <w:pPr>
        <w:pStyle w:val="Akapitzlist"/>
        <w:jc w:val="both"/>
        <w:rPr>
          <w:rFonts w:ascii="Times New Roman" w:hAnsi="Times New Roman" w:cs="Times New Roman"/>
          <w:b/>
          <w:i/>
        </w:rPr>
      </w:pPr>
      <w:r w:rsidRPr="002B3274">
        <w:rPr>
          <w:rFonts w:ascii="Times New Roman" w:hAnsi="Times New Roman" w:cs="Times New Roman"/>
          <w:i/>
        </w:rPr>
        <w:t xml:space="preserve">Roczne sprawozdanie finansowe obejmuję rok </w:t>
      </w:r>
      <w:r w:rsidRPr="002B3274">
        <w:rPr>
          <w:rFonts w:ascii="Times New Roman" w:hAnsi="Times New Roman" w:cs="Times New Roman"/>
          <w:b/>
          <w:i/>
        </w:rPr>
        <w:t>20</w:t>
      </w:r>
      <w:r w:rsidR="000C1025">
        <w:rPr>
          <w:rFonts w:ascii="Times New Roman" w:hAnsi="Times New Roman" w:cs="Times New Roman"/>
          <w:b/>
          <w:i/>
        </w:rPr>
        <w:t>20</w:t>
      </w:r>
      <w:r>
        <w:rPr>
          <w:rFonts w:ascii="Times New Roman" w:hAnsi="Times New Roman" w:cs="Times New Roman"/>
          <w:b/>
          <w:i/>
        </w:rPr>
        <w:t>.</w:t>
      </w:r>
    </w:p>
    <w:p w:rsidR="002B3274" w:rsidRDefault="002B3274" w:rsidP="00B35C40">
      <w:pPr>
        <w:pStyle w:val="Akapitzlist"/>
        <w:jc w:val="both"/>
        <w:rPr>
          <w:rFonts w:ascii="Times New Roman" w:hAnsi="Times New Roman" w:cs="Times New Roman"/>
        </w:rPr>
      </w:pPr>
    </w:p>
    <w:p w:rsidR="00B35C40" w:rsidRDefault="002B3274" w:rsidP="00B35C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Wskazanie, że sprawozdanie finansowe zawiera dane łączne, jeżeli w skład organizacji wchodzą wewnętrzne jednostki organizacyjne sporządzające samodzielnie sprawozdania, Towarzystwo nie posiada jednostek wewnętrznych.</w:t>
      </w:r>
    </w:p>
    <w:p w:rsidR="002B3274" w:rsidRPr="008F28B8" w:rsidRDefault="002B3274" w:rsidP="008F28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35C40">
        <w:rPr>
          <w:rFonts w:ascii="Times New Roman" w:hAnsi="Times New Roman" w:cs="Times New Roman"/>
        </w:rPr>
        <w:t xml:space="preserve">Wskazanie czy sprawozdanie finansowe zostało sporządzone przy założeniu kontynuowaniu działalności przez organizację w dającej się przewidzieć przyszłości oraz czy nie istnieją okoliczności wskazujące na poważne zagrożenia dla kontynuowania przez </w:t>
      </w:r>
      <w:r w:rsidRPr="008F28B8">
        <w:rPr>
          <w:rFonts w:ascii="Times New Roman" w:hAnsi="Times New Roman" w:cs="Times New Roman"/>
        </w:rPr>
        <w:t>nią działalności</w:t>
      </w:r>
    </w:p>
    <w:p w:rsidR="00B35C40" w:rsidRPr="00B35C40" w:rsidRDefault="00B35C40" w:rsidP="00B35C40">
      <w:pPr>
        <w:pStyle w:val="Akapitzlist"/>
        <w:jc w:val="both"/>
        <w:rPr>
          <w:rFonts w:ascii="Times New Roman" w:hAnsi="Times New Roman" w:cs="Times New Roman"/>
          <w:i/>
        </w:rPr>
      </w:pPr>
      <w:r w:rsidRPr="00B35C40">
        <w:rPr>
          <w:rFonts w:ascii="Times New Roman" w:hAnsi="Times New Roman" w:cs="Times New Roman"/>
          <w:i/>
        </w:rPr>
        <w:lastRenderedPageBreak/>
        <w:t>Roczne sprawozdanie sporządzono przy założeniu kontynuowaniu działalności przez organizację, co najmniej 12 miesięcy i dłużej.</w:t>
      </w:r>
    </w:p>
    <w:p w:rsidR="00B35C40" w:rsidRDefault="00B35C40" w:rsidP="00B35C40">
      <w:pPr>
        <w:pStyle w:val="Akapitzlist"/>
        <w:jc w:val="both"/>
        <w:rPr>
          <w:rFonts w:ascii="Times New Roman" w:hAnsi="Times New Roman" w:cs="Times New Roman"/>
          <w:i/>
        </w:rPr>
      </w:pPr>
      <w:r w:rsidRPr="00B35C40">
        <w:rPr>
          <w:rFonts w:ascii="Times New Roman" w:hAnsi="Times New Roman" w:cs="Times New Roman"/>
          <w:i/>
        </w:rPr>
        <w:t>Nie są nam znane okoliczności, które wskazywałyby na istnienie poważnych zagrożeń dla kontynuowani</w:t>
      </w:r>
      <w:r w:rsidR="00725A70">
        <w:rPr>
          <w:rFonts w:ascii="Times New Roman" w:hAnsi="Times New Roman" w:cs="Times New Roman"/>
          <w:i/>
        </w:rPr>
        <w:t>a przez organizację</w:t>
      </w:r>
      <w:r w:rsidRPr="00B35C40">
        <w:rPr>
          <w:rFonts w:ascii="Times New Roman" w:hAnsi="Times New Roman" w:cs="Times New Roman"/>
          <w:i/>
        </w:rPr>
        <w:t xml:space="preserve"> działalności. </w:t>
      </w:r>
    </w:p>
    <w:p w:rsidR="00B35C40" w:rsidRDefault="00B35C40" w:rsidP="00B35C40">
      <w:pPr>
        <w:pStyle w:val="Akapitzlist"/>
        <w:jc w:val="both"/>
        <w:rPr>
          <w:rFonts w:ascii="Times New Roman" w:hAnsi="Times New Roman" w:cs="Times New Roman"/>
          <w:i/>
        </w:rPr>
      </w:pPr>
    </w:p>
    <w:p w:rsidR="00B35C40" w:rsidRDefault="00B35C40" w:rsidP="00B35C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Omówienie przyjętych zasad (polityki) rachunkowości, w tym metod wyceny aktywów i pasywów (także amortyzacji), pomiaru wyniku finansowego oraz sposobu sporządzenia sprawozdania finansowego w zakresie, w jakim ustawa pozostawiłaby jednostce prawo wyboru .</w:t>
      </w:r>
    </w:p>
    <w:p w:rsidR="008F28B8" w:rsidRDefault="00B35C40" w:rsidP="008F28B8">
      <w:pPr>
        <w:pStyle w:val="Akapitzlist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Przyjęte zasady (politykę) rachunkowości stosuje się w sposób ciągły, dokonując </w:t>
      </w:r>
      <w:r w:rsidR="008F28B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kolejnych latach obrotowych jednostkowego grupowania operacji gospodarczych, jednostkowej wyceny </w:t>
      </w:r>
      <w:r w:rsidR="008F28B8">
        <w:rPr>
          <w:rFonts w:ascii="Times New Roman" w:hAnsi="Times New Roman" w:cs="Times New Roman"/>
        </w:rPr>
        <w:t xml:space="preserve">aktywów i pasywów (w tym także dokonywania odpisów amortyzacyjnych i umorzeniowych), ustala się wynik finansowy i sporządza sprawozdanie finansowe tak, aby za kolejne lata informacje z nich wynikające </w:t>
      </w:r>
      <w:r w:rsidR="008F28B8">
        <w:rPr>
          <w:rFonts w:ascii="Times New Roman" w:hAnsi="Times New Roman" w:cs="Times New Roman"/>
        </w:rPr>
        <w:br/>
      </w:r>
      <w:r w:rsidR="008F28B8" w:rsidRPr="008F28B8">
        <w:rPr>
          <w:rFonts w:ascii="Times New Roman" w:hAnsi="Times New Roman" w:cs="Times New Roman"/>
        </w:rPr>
        <w:t>były porównywalne.</w:t>
      </w:r>
    </w:p>
    <w:p w:rsidR="008F28B8" w:rsidRDefault="008F28B8" w:rsidP="008F28B8">
      <w:pPr>
        <w:pStyle w:val="Akapitzlist"/>
        <w:ind w:left="1416"/>
        <w:jc w:val="both"/>
        <w:rPr>
          <w:rFonts w:ascii="Times New Roman" w:hAnsi="Times New Roman" w:cs="Times New Roman"/>
        </w:rPr>
      </w:pPr>
    </w:p>
    <w:p w:rsidR="00B35C40" w:rsidRPr="001244DF" w:rsidRDefault="008F28B8" w:rsidP="008F28B8">
      <w:pPr>
        <w:pStyle w:val="Akapitzlist"/>
        <w:jc w:val="both"/>
        <w:rPr>
          <w:rFonts w:ascii="Times New Roman" w:hAnsi="Times New Roman" w:cs="Times New Roman"/>
          <w:i/>
        </w:rPr>
      </w:pPr>
      <w:r w:rsidRPr="001244DF">
        <w:rPr>
          <w:rFonts w:ascii="Times New Roman" w:hAnsi="Times New Roman" w:cs="Times New Roman"/>
          <w:i/>
        </w:rPr>
        <w:t>Aktywa i pasywa wycenia się według następujących zasad:</w:t>
      </w:r>
    </w:p>
    <w:p w:rsidR="008F28B8" w:rsidRPr="001244DF" w:rsidRDefault="008F28B8" w:rsidP="008F28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1244DF">
        <w:rPr>
          <w:rFonts w:ascii="Times New Roman" w:hAnsi="Times New Roman" w:cs="Times New Roman"/>
          <w:i/>
        </w:rPr>
        <w:t>Wartości niematerialne i prawne wycenia się według cen nabycia.</w:t>
      </w:r>
    </w:p>
    <w:p w:rsidR="008F28B8" w:rsidRPr="001244DF" w:rsidRDefault="008F28B8" w:rsidP="008F28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1244DF">
        <w:rPr>
          <w:rFonts w:ascii="Times New Roman" w:hAnsi="Times New Roman" w:cs="Times New Roman"/>
          <w:i/>
        </w:rPr>
        <w:t>Środki trwałe wycenia się według cen nabycia</w:t>
      </w:r>
    </w:p>
    <w:p w:rsidR="008F28B8" w:rsidRPr="001244DF" w:rsidRDefault="008F28B8" w:rsidP="008F28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1244DF">
        <w:rPr>
          <w:rFonts w:ascii="Times New Roman" w:hAnsi="Times New Roman" w:cs="Times New Roman"/>
          <w:i/>
        </w:rPr>
        <w:t>Do amortyzacji środków trwałych  oraz wartości niematerialnych i prawnych</w:t>
      </w:r>
      <w:r w:rsidRPr="001244DF">
        <w:rPr>
          <w:rFonts w:ascii="Times New Roman" w:hAnsi="Times New Roman" w:cs="Times New Roman"/>
          <w:i/>
        </w:rPr>
        <w:br/>
        <w:t>stosuje się stawki przewidziane w wykazie rocznych stawek amortyzacyjnych</w:t>
      </w:r>
      <w:r w:rsidRPr="001244DF">
        <w:rPr>
          <w:rFonts w:ascii="Times New Roman" w:hAnsi="Times New Roman" w:cs="Times New Roman"/>
          <w:i/>
        </w:rPr>
        <w:br/>
        <w:t>stanowiących załącznik do ustaw o podatku dochodowym od osób prawnych,</w:t>
      </w:r>
      <w:r w:rsidRPr="001244DF">
        <w:rPr>
          <w:rFonts w:ascii="Times New Roman" w:hAnsi="Times New Roman" w:cs="Times New Roman"/>
          <w:i/>
        </w:rPr>
        <w:br/>
        <w:t>stosuję się liniową metodę amortyzacji</w:t>
      </w:r>
    </w:p>
    <w:p w:rsidR="008F28B8" w:rsidRPr="001244DF" w:rsidRDefault="008F28B8" w:rsidP="008F28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1244DF">
        <w:rPr>
          <w:rFonts w:ascii="Times New Roman" w:hAnsi="Times New Roman" w:cs="Times New Roman"/>
          <w:i/>
        </w:rPr>
        <w:t>Pozostałe składniki aktywów i pasywów wycenia się następująco:</w:t>
      </w:r>
    </w:p>
    <w:p w:rsidR="001244DF" w:rsidRDefault="008F28B8" w:rsidP="008F28B8">
      <w:pPr>
        <w:pStyle w:val="Akapitzlist"/>
        <w:ind w:left="1440"/>
        <w:jc w:val="both"/>
        <w:rPr>
          <w:rFonts w:ascii="Times New Roman" w:hAnsi="Times New Roman" w:cs="Times New Roman"/>
          <w:i/>
        </w:rPr>
      </w:pPr>
      <w:r w:rsidRPr="001244DF">
        <w:rPr>
          <w:rFonts w:ascii="Times New Roman" w:hAnsi="Times New Roman" w:cs="Times New Roman"/>
          <w:i/>
        </w:rPr>
        <w:t>Zapasy rzeczowych składników majątku obrotowego, wycenia się wg cen nabycia</w:t>
      </w:r>
    </w:p>
    <w:p w:rsidR="001244DF" w:rsidRDefault="001244DF" w:rsidP="008F28B8">
      <w:pPr>
        <w:pStyle w:val="Akapitzlist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odnosi bezpośrednio w koszty z równoczesną pozabilansową ich ewidencją. </w:t>
      </w:r>
      <w:r>
        <w:rPr>
          <w:rFonts w:ascii="Times New Roman" w:hAnsi="Times New Roman" w:cs="Times New Roman"/>
        </w:rPr>
        <w:br/>
        <w:t xml:space="preserve">Środki trwałe o wartości do </w:t>
      </w:r>
      <w:r w:rsidR="00725A70">
        <w:rPr>
          <w:rFonts w:ascii="Times New Roman" w:hAnsi="Times New Roman" w:cs="Times New Roman"/>
        </w:rPr>
        <w:t>10.0</w:t>
      </w:r>
      <w:r>
        <w:rPr>
          <w:rFonts w:ascii="Times New Roman" w:hAnsi="Times New Roman" w:cs="Times New Roman"/>
        </w:rPr>
        <w:t>00,00 odnosi się bezpośrednio w ciężar kosztów.</w:t>
      </w:r>
      <w:r>
        <w:rPr>
          <w:rFonts w:ascii="Times New Roman" w:hAnsi="Times New Roman" w:cs="Times New Roman"/>
        </w:rPr>
        <w:br/>
        <w:t>Środki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pieniężne ujmuje się w wartości nominalnej.</w:t>
      </w:r>
    </w:p>
    <w:p w:rsidR="008F28B8" w:rsidRDefault="001244DF" w:rsidP="008F28B8">
      <w:pPr>
        <w:pStyle w:val="Akapitzlist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8F28B8" w:rsidRPr="008F28B8" w:rsidRDefault="008F28B8" w:rsidP="008F28B8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8F28B8">
        <w:rPr>
          <w:rFonts w:ascii="Times New Roman" w:hAnsi="Times New Roman" w:cs="Times New Roman"/>
        </w:rPr>
        <w:br/>
      </w:r>
    </w:p>
    <w:p w:rsidR="00B35C40" w:rsidRPr="00B35C40" w:rsidRDefault="00B35C40" w:rsidP="00B35C40">
      <w:pPr>
        <w:pStyle w:val="Akapitzlist"/>
        <w:rPr>
          <w:rFonts w:ascii="Times New Roman" w:hAnsi="Times New Roman" w:cs="Times New Roman"/>
          <w:i/>
        </w:rPr>
      </w:pPr>
    </w:p>
    <w:p w:rsidR="002B3274" w:rsidRPr="002B3274" w:rsidRDefault="002B3274" w:rsidP="002B3274">
      <w:pPr>
        <w:ind w:left="360"/>
        <w:rPr>
          <w:rFonts w:ascii="Times New Roman" w:hAnsi="Times New Roman" w:cs="Times New Roman"/>
        </w:rPr>
      </w:pPr>
    </w:p>
    <w:p w:rsidR="002B3274" w:rsidRDefault="002B3274" w:rsidP="0017631B">
      <w:pPr>
        <w:pStyle w:val="Akapitzlist"/>
        <w:rPr>
          <w:rFonts w:ascii="Times New Roman" w:hAnsi="Times New Roman" w:cs="Times New Roman"/>
        </w:rPr>
      </w:pPr>
    </w:p>
    <w:p w:rsidR="002B3274" w:rsidRDefault="002B3274" w:rsidP="0017631B">
      <w:pPr>
        <w:pStyle w:val="Akapitzlist"/>
        <w:rPr>
          <w:rFonts w:ascii="Times New Roman" w:hAnsi="Times New Roman" w:cs="Times New Roman"/>
        </w:rPr>
      </w:pPr>
    </w:p>
    <w:p w:rsidR="0017631B" w:rsidRPr="0017631B" w:rsidRDefault="0017631B" w:rsidP="0017631B">
      <w:pPr>
        <w:pStyle w:val="Akapitzlist"/>
        <w:rPr>
          <w:rFonts w:ascii="Times New Roman" w:hAnsi="Times New Roman" w:cs="Times New Roman"/>
        </w:rPr>
      </w:pPr>
    </w:p>
    <w:sectPr w:rsidR="0017631B" w:rsidRPr="0017631B" w:rsidSect="00E3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72" w:rsidRDefault="00350372" w:rsidP="008F28B8">
      <w:pPr>
        <w:spacing w:after="0" w:line="240" w:lineRule="auto"/>
      </w:pPr>
      <w:r>
        <w:separator/>
      </w:r>
    </w:p>
  </w:endnote>
  <w:endnote w:type="continuationSeparator" w:id="1">
    <w:p w:rsidR="00350372" w:rsidRDefault="00350372" w:rsidP="008F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72" w:rsidRDefault="00350372" w:rsidP="008F28B8">
      <w:pPr>
        <w:spacing w:after="0" w:line="240" w:lineRule="auto"/>
      </w:pPr>
      <w:r>
        <w:separator/>
      </w:r>
    </w:p>
  </w:footnote>
  <w:footnote w:type="continuationSeparator" w:id="1">
    <w:p w:rsidR="00350372" w:rsidRDefault="00350372" w:rsidP="008F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3E8"/>
    <w:multiLevelType w:val="hybridMultilevel"/>
    <w:tmpl w:val="52C60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A312E3"/>
    <w:multiLevelType w:val="hybridMultilevel"/>
    <w:tmpl w:val="BA9A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31B"/>
    <w:rsid w:val="000C1025"/>
    <w:rsid w:val="00120BC4"/>
    <w:rsid w:val="001244DF"/>
    <w:rsid w:val="0017631B"/>
    <w:rsid w:val="002B3274"/>
    <w:rsid w:val="00350372"/>
    <w:rsid w:val="005628B5"/>
    <w:rsid w:val="00725A70"/>
    <w:rsid w:val="00761FE7"/>
    <w:rsid w:val="008F28B8"/>
    <w:rsid w:val="00AB698E"/>
    <w:rsid w:val="00B35C40"/>
    <w:rsid w:val="00E3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3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2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8B8"/>
  </w:style>
  <w:style w:type="paragraph" w:styleId="Stopka">
    <w:name w:val="footer"/>
    <w:basedOn w:val="Normalny"/>
    <w:link w:val="StopkaZnak"/>
    <w:uiPriority w:val="99"/>
    <w:unhideWhenUsed/>
    <w:rsid w:val="008F2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3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2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8B8"/>
  </w:style>
  <w:style w:type="paragraph" w:styleId="Stopka">
    <w:name w:val="footer"/>
    <w:basedOn w:val="Normalny"/>
    <w:link w:val="StopkaZnak"/>
    <w:uiPriority w:val="99"/>
    <w:unhideWhenUsed/>
    <w:rsid w:val="008F2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287D-8FBF-4289-8C51-62B98417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FC48</dc:creator>
  <cp:lastModifiedBy>user</cp:lastModifiedBy>
  <cp:revision>2</cp:revision>
  <dcterms:created xsi:type="dcterms:W3CDTF">2021-06-15T14:27:00Z</dcterms:created>
  <dcterms:modified xsi:type="dcterms:W3CDTF">2021-06-15T14:27:00Z</dcterms:modified>
</cp:coreProperties>
</file>